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 xml:space="preserve">Дело </w:t>
      </w:r>
      <w:r>
        <w:rPr>
          <w:rFonts w:ascii="Times New Roman" w:eastAsia="Times New Roman" w:hAnsi="Times New Roman" w:cs="Times New Roman"/>
        </w:rPr>
        <w:t>№ 2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2231</w:t>
      </w:r>
      <w:r>
        <w:rPr>
          <w:rFonts w:ascii="Times New Roman" w:eastAsia="Times New Roman" w:hAnsi="Times New Roman" w:cs="Times New Roman"/>
        </w:rPr>
        <w:t>-200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ЗАОЧНОЕ РЕШЕНИЕ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(резолютивная часть)</w:t>
      </w: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17 ноября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3 Нефтеюганского судебного района Ханты-Мансийского автономного округа-Югры Агзямова Р.В.,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5"/>
          <w:szCs w:val="25"/>
        </w:rPr>
        <w:t>Гильмияровой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Г.Г.,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АО «Банк Русский Стандарт»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 </w:t>
      </w:r>
      <w:r>
        <w:rPr>
          <w:rFonts w:ascii="Times New Roman" w:eastAsia="Times New Roman" w:hAnsi="Times New Roman" w:cs="Times New Roman"/>
          <w:sz w:val="25"/>
          <w:szCs w:val="25"/>
        </w:rPr>
        <w:t>Туровскому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Максиму Сергеевичу </w:t>
      </w:r>
      <w:r>
        <w:rPr>
          <w:rFonts w:ascii="Times New Roman" w:eastAsia="Times New Roman" w:hAnsi="Times New Roman" w:cs="Times New Roman"/>
          <w:sz w:val="25"/>
          <w:szCs w:val="25"/>
        </w:rPr>
        <w:t>о взыскании задолженности по договору,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руководствуясь ст.ст.194-199 Гражданского процессуального кодекса Р</w:t>
      </w:r>
      <w:r>
        <w:rPr>
          <w:rFonts w:ascii="Times New Roman" w:eastAsia="Times New Roman" w:hAnsi="Times New Roman" w:cs="Times New Roman"/>
          <w:sz w:val="25"/>
          <w:szCs w:val="25"/>
        </w:rPr>
        <w:t>оссийской Федерации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widowControl w:val="0"/>
        <w:spacing w:before="0" w:after="0"/>
        <w:ind w:firstLine="567"/>
        <w:jc w:val="center"/>
        <w:rPr>
          <w:sz w:val="25"/>
          <w:szCs w:val="25"/>
        </w:rPr>
      </w:pPr>
    </w:p>
    <w:p>
      <w:pPr>
        <w:widowControl w:val="0"/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5"/>
          <w:szCs w:val="25"/>
        </w:rPr>
      </w:pP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АО «Банк Русский Стандарт» к </w:t>
      </w:r>
      <w:r>
        <w:rPr>
          <w:rFonts w:ascii="Times New Roman" w:eastAsia="Times New Roman" w:hAnsi="Times New Roman" w:cs="Times New Roman"/>
          <w:sz w:val="25"/>
          <w:szCs w:val="25"/>
        </w:rPr>
        <w:t>Туровскому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Максиму Сергеевичу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 взыс</w:t>
      </w:r>
      <w:r>
        <w:rPr>
          <w:rFonts w:ascii="Times New Roman" w:eastAsia="Times New Roman" w:hAnsi="Times New Roman" w:cs="Times New Roman"/>
          <w:sz w:val="25"/>
          <w:szCs w:val="25"/>
        </w:rPr>
        <w:t>кании задолженности по договору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удовлетворить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Взыскать с </w:t>
      </w:r>
      <w:r>
        <w:rPr>
          <w:rFonts w:ascii="Times New Roman" w:eastAsia="Times New Roman" w:hAnsi="Times New Roman" w:cs="Times New Roman"/>
          <w:sz w:val="25"/>
          <w:szCs w:val="25"/>
        </w:rPr>
        <w:t>Туровского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Максима Сергеевича </w:t>
      </w:r>
      <w:r>
        <w:rPr>
          <w:rFonts w:ascii="Times New Roman" w:eastAsia="Times New Roman" w:hAnsi="Times New Roman" w:cs="Times New Roman"/>
          <w:sz w:val="25"/>
          <w:szCs w:val="25"/>
        </w:rPr>
        <w:t>(</w:t>
      </w:r>
      <w:r>
        <w:rPr>
          <w:rStyle w:val="cat-PassportDatagrp-15rplc-10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17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18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пользу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АО «Банк Русский Стандарт»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(ИНН </w:t>
      </w:r>
      <w:r>
        <w:rPr>
          <w:rFonts w:ascii="Times New Roman" w:eastAsia="Times New Roman" w:hAnsi="Times New Roman" w:cs="Times New Roman"/>
          <w:sz w:val="25"/>
          <w:szCs w:val="25"/>
        </w:rPr>
        <w:t>7707056547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5"/>
          <w:szCs w:val="25"/>
        </w:rPr>
        <w:t>договору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Style w:val="cat-UserDefinedgrp-19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18.02.2007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 период с </w:t>
      </w:r>
      <w:r>
        <w:rPr>
          <w:rFonts w:ascii="Times New Roman" w:eastAsia="Times New Roman" w:hAnsi="Times New Roman" w:cs="Times New Roman"/>
          <w:sz w:val="25"/>
          <w:szCs w:val="25"/>
        </w:rPr>
        <w:t>18.02.2007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</w:t>
      </w:r>
      <w:r>
        <w:rPr>
          <w:rFonts w:ascii="Times New Roman" w:eastAsia="Times New Roman" w:hAnsi="Times New Roman" w:cs="Times New Roman"/>
          <w:sz w:val="25"/>
          <w:szCs w:val="25"/>
        </w:rPr>
        <w:t>27</w:t>
      </w:r>
      <w:r>
        <w:rPr>
          <w:rFonts w:ascii="Times New Roman" w:eastAsia="Times New Roman" w:hAnsi="Times New Roman" w:cs="Times New Roman"/>
          <w:sz w:val="25"/>
          <w:szCs w:val="25"/>
        </w:rPr>
        <w:t>.06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сумме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38111,43 </w:t>
      </w:r>
      <w:r>
        <w:rPr>
          <w:rFonts w:ascii="Times New Roman" w:eastAsia="Times New Roman" w:hAnsi="Times New Roman" w:cs="Times New Roman"/>
          <w:sz w:val="25"/>
          <w:szCs w:val="25"/>
        </w:rPr>
        <w:t>руб.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 также 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4000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всего взыскать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42111,43 </w:t>
      </w:r>
      <w:r>
        <w:rPr>
          <w:rFonts w:ascii="Times New Roman" w:eastAsia="Times New Roman" w:hAnsi="Times New Roman" w:cs="Times New Roman"/>
          <w:sz w:val="25"/>
          <w:szCs w:val="25"/>
        </w:rPr>
        <w:t>руб.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Заочное решение мирового судьи может быть обжаловано ответчиком в апелляционном порядке в Нефтеюганский районный суд Ханты-Мансийского автономного округа-Югры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Заочное решение мирового судьи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апелляционном порядке в Нефтеюганский районный суд Ханты-Мансийского автономного округа-Югры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Лица, участвующие в деле, их представители могут обратиться к мировому судье с заявлением о составлении мотивированного заочного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</w:t>
      </w:r>
      <w:r>
        <w:rPr>
          <w:rFonts w:ascii="Times New Roman" w:eastAsia="Times New Roman" w:hAnsi="Times New Roman" w:cs="Times New Roman"/>
          <w:sz w:val="25"/>
          <w:szCs w:val="25"/>
        </w:rPr>
        <w:t>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Р.В.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Агзямова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0"/>
          <w:szCs w:val="20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5rplc-10">
    <w:name w:val="cat-PassportData grp-15 rplc-10"/>
    <w:basedOn w:val="DefaultParagraphFont"/>
  </w:style>
  <w:style w:type="character" w:customStyle="1" w:styleId="cat-ExternalSystemDefinedgrp-17rplc-11">
    <w:name w:val="cat-ExternalSystemDefined grp-17 rplc-11"/>
    <w:basedOn w:val="DefaultParagraphFont"/>
  </w:style>
  <w:style w:type="character" w:customStyle="1" w:styleId="cat-ExternalSystemDefinedgrp-18rplc-12">
    <w:name w:val="cat-ExternalSystemDefined grp-18 rplc-12"/>
    <w:basedOn w:val="DefaultParagraphFont"/>
  </w:style>
  <w:style w:type="character" w:customStyle="1" w:styleId="cat-UserDefinedgrp-19rplc-14">
    <w:name w:val="cat-UserDefined grp-19 rplc-14"/>
    <w:basedOn w:val="DefaultParagraphFont"/>
  </w:style>
  <w:style w:type="character" w:customStyle="1" w:styleId="cat-UserDefinedgrp-20rplc-21">
    <w:name w:val="cat-UserDefined grp-20 rplc-21"/>
    <w:basedOn w:val="DefaultParagraphFont"/>
  </w:style>
  <w:style w:type="character" w:customStyle="1" w:styleId="cat-UserDefinedgrp-21rplc-24">
    <w:name w:val="cat-UserDefined grp-21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